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1A" w:rsidRPr="00AD785B" w:rsidRDefault="00DD7E1A">
      <w:pPr>
        <w:rPr>
          <w:rFonts w:cs="Arial"/>
          <w:sz w:val="20"/>
          <w:szCs w:val="20"/>
        </w:rPr>
      </w:pPr>
    </w:p>
    <w:tbl>
      <w:tblPr>
        <w:tblpPr w:leftFromText="180" w:rightFromText="180" w:vertAnchor="page" w:horzAnchor="margin" w:tblpX="-694" w:tblpY="4876"/>
        <w:tblW w:w="54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/>
      </w:tblPr>
      <w:tblGrid>
        <w:gridCol w:w="1769"/>
        <w:gridCol w:w="1710"/>
        <w:gridCol w:w="4048"/>
        <w:gridCol w:w="3780"/>
        <w:gridCol w:w="1620"/>
        <w:gridCol w:w="1533"/>
        <w:gridCol w:w="1707"/>
      </w:tblGrid>
      <w:tr w:rsidR="00DD7E1A" w:rsidRPr="00AD785B" w:rsidTr="00E332C0">
        <w:trPr>
          <w:tblHeader/>
        </w:trPr>
        <w:tc>
          <w:tcPr>
            <w:tcW w:w="547" w:type="pct"/>
          </w:tcPr>
          <w:p w:rsidR="00DD7E1A" w:rsidRPr="00AD785B" w:rsidRDefault="00DD7E1A" w:rsidP="00C8767E">
            <w:pPr>
              <w:rPr>
                <w:rFonts w:cs="Arial"/>
                <w:b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b/>
                <w:sz w:val="20"/>
                <w:szCs w:val="20"/>
                <w:lang w:eastAsia="en-GB"/>
              </w:rPr>
              <w:t>What are the hazards?</w:t>
            </w:r>
          </w:p>
        </w:tc>
        <w:tc>
          <w:tcPr>
            <w:tcW w:w="529" w:type="pct"/>
          </w:tcPr>
          <w:p w:rsidR="00DD7E1A" w:rsidRPr="00AD785B" w:rsidRDefault="00DD7E1A" w:rsidP="00C8767E">
            <w:pPr>
              <w:rPr>
                <w:rFonts w:cs="Arial"/>
                <w:b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b/>
                <w:sz w:val="20"/>
                <w:szCs w:val="20"/>
                <w:lang w:eastAsia="en-GB"/>
              </w:rPr>
              <w:t>Who might be harmed and how?</w:t>
            </w:r>
          </w:p>
        </w:tc>
        <w:tc>
          <w:tcPr>
            <w:tcW w:w="1252" w:type="pct"/>
          </w:tcPr>
          <w:p w:rsidR="00DD7E1A" w:rsidRPr="00AD785B" w:rsidRDefault="00DD7E1A" w:rsidP="00C8767E">
            <w:pPr>
              <w:rPr>
                <w:rFonts w:cs="Arial"/>
                <w:b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b/>
                <w:sz w:val="20"/>
                <w:szCs w:val="20"/>
                <w:lang w:eastAsia="en-GB"/>
              </w:rPr>
              <w:t>What are you already doing?</w:t>
            </w:r>
          </w:p>
        </w:tc>
        <w:tc>
          <w:tcPr>
            <w:tcW w:w="1169" w:type="pct"/>
          </w:tcPr>
          <w:p w:rsidR="00DD7E1A" w:rsidRPr="00AD785B" w:rsidRDefault="00DD7E1A" w:rsidP="00C8767E">
            <w:pPr>
              <w:rPr>
                <w:rFonts w:cs="Arial"/>
                <w:b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b/>
                <w:sz w:val="20"/>
                <w:szCs w:val="20"/>
                <w:lang w:eastAsia="en-GB"/>
              </w:rPr>
              <w:t>Do you need to do anything else to manage this risk?</w:t>
            </w:r>
          </w:p>
        </w:tc>
        <w:tc>
          <w:tcPr>
            <w:tcW w:w="501" w:type="pct"/>
          </w:tcPr>
          <w:p w:rsidR="00DD7E1A" w:rsidRPr="00AD785B" w:rsidRDefault="00DD7E1A" w:rsidP="00C8767E">
            <w:pPr>
              <w:rPr>
                <w:rFonts w:cs="Arial"/>
                <w:b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b/>
                <w:sz w:val="20"/>
                <w:szCs w:val="20"/>
                <w:lang w:eastAsia="en-GB"/>
              </w:rPr>
              <w:t>Action by whom?</w:t>
            </w:r>
          </w:p>
        </w:tc>
        <w:tc>
          <w:tcPr>
            <w:tcW w:w="474" w:type="pct"/>
          </w:tcPr>
          <w:p w:rsidR="00DD7E1A" w:rsidRPr="00AD785B" w:rsidRDefault="00DD7E1A" w:rsidP="00C8767E">
            <w:pPr>
              <w:rPr>
                <w:rFonts w:cs="Arial"/>
                <w:b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b/>
                <w:sz w:val="20"/>
                <w:szCs w:val="20"/>
                <w:lang w:eastAsia="en-GB"/>
              </w:rPr>
              <w:t>Action by when?</w:t>
            </w:r>
          </w:p>
        </w:tc>
        <w:tc>
          <w:tcPr>
            <w:tcW w:w="528" w:type="pct"/>
          </w:tcPr>
          <w:p w:rsidR="00DD7E1A" w:rsidRPr="00AD785B" w:rsidRDefault="00DD7E1A" w:rsidP="00C8767E">
            <w:pPr>
              <w:rPr>
                <w:rFonts w:cs="Arial"/>
                <w:b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b/>
                <w:sz w:val="20"/>
                <w:szCs w:val="20"/>
                <w:lang w:eastAsia="en-GB"/>
              </w:rPr>
              <w:t>Done</w:t>
            </w:r>
          </w:p>
        </w:tc>
      </w:tr>
      <w:tr w:rsidR="00DD7E1A" w:rsidRPr="00AD785B" w:rsidTr="00CC720C">
        <w:trPr>
          <w:trHeight w:val="1809"/>
        </w:trPr>
        <w:tc>
          <w:tcPr>
            <w:tcW w:w="547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Burn or scald</w:t>
            </w:r>
          </w:p>
        </w:tc>
        <w:tc>
          <w:tcPr>
            <w:tcW w:w="529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Adults or children</w:t>
            </w:r>
          </w:p>
        </w:tc>
        <w:tc>
          <w:tcPr>
            <w:tcW w:w="1252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Care taken when carrying hot drinks &amp; pouring tea/coffee.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Responsible adult to pour &amp; carry hot drinks.</w:t>
            </w:r>
          </w:p>
        </w:tc>
        <w:tc>
          <w:tcPr>
            <w:tcW w:w="1169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Keep children &amp; frail or vulnerable adults away from hot drinks areas. Do not let them carry hot drinks around.</w:t>
            </w:r>
          </w:p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Avoid too many people being involved in carrying drinks around – plan a rota for helping.</w:t>
            </w:r>
          </w:p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</w:p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501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All attending church services.</w:t>
            </w:r>
          </w:p>
        </w:tc>
        <w:tc>
          <w:tcPr>
            <w:tcW w:w="474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Immediate</w:t>
            </w:r>
          </w:p>
        </w:tc>
        <w:tc>
          <w:tcPr>
            <w:tcW w:w="528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Yes</w:t>
            </w:r>
          </w:p>
        </w:tc>
      </w:tr>
      <w:tr w:rsidR="00DD7E1A" w:rsidRPr="00AD785B" w:rsidTr="008A3C14">
        <w:trPr>
          <w:trHeight w:val="2267"/>
        </w:trPr>
        <w:tc>
          <w:tcPr>
            <w:tcW w:w="547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Slips, trips &amp; falls</w:t>
            </w:r>
          </w:p>
        </w:tc>
        <w:tc>
          <w:tcPr>
            <w:tcW w:w="529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Adults or children</w:t>
            </w:r>
          </w:p>
        </w:tc>
        <w:tc>
          <w:tcPr>
            <w:tcW w:w="1252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Care taken to mark steps with hazard tape.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 xml:space="preserve">Care taken that any loose carpet is secured well &amp; </w:t>
            </w:r>
            <w:r>
              <w:rPr>
                <w:rFonts w:cs="Arial"/>
                <w:sz w:val="20"/>
                <w:szCs w:val="20"/>
                <w:lang w:eastAsia="en-GB"/>
              </w:rPr>
              <w:t>any loose carpet is removed.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Use of ramp for w</w:t>
            </w:r>
            <w:r w:rsidRPr="00AD785B">
              <w:rPr>
                <w:rFonts w:cs="Arial"/>
                <w:sz w:val="20"/>
                <w:szCs w:val="20"/>
                <w:lang w:eastAsia="en-GB"/>
              </w:rPr>
              <w:t>h</w:t>
            </w:r>
            <w:r>
              <w:rPr>
                <w:rFonts w:cs="Arial"/>
                <w:sz w:val="20"/>
                <w:szCs w:val="20"/>
                <w:lang w:eastAsia="en-GB"/>
              </w:rPr>
              <w:t>eelch</w:t>
            </w:r>
            <w:r w:rsidRPr="00AD785B">
              <w:rPr>
                <w:rFonts w:cs="Arial"/>
                <w:sz w:val="20"/>
                <w:szCs w:val="20"/>
                <w:lang w:eastAsia="en-GB"/>
              </w:rPr>
              <w:t>airs or other mobility aids, up &amp; down steps.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Use of hand rails where possible.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Avoid use of ladders except for trained or capable (risk assessed) persons.</w:t>
            </w:r>
          </w:p>
        </w:tc>
        <w:tc>
          <w:tcPr>
            <w:tcW w:w="1169" w:type="pct"/>
          </w:tcPr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Risk assessment has taken place on 2.10.23 by working party, to assess any structural or other changes required to improve access &amp; help those with reduced mobility &amp; any other special needs. Awaiting a site visit from DAC’s accessibility advisor.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Increase implementation of hand rails where feasible.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Add further hazard tape to s</w:t>
            </w:r>
            <w:r>
              <w:rPr>
                <w:rFonts w:cs="Arial"/>
                <w:sz w:val="20"/>
                <w:szCs w:val="20"/>
                <w:lang w:eastAsia="en-GB"/>
              </w:rPr>
              <w:t>teps &amp; areas of uneven flooring &amp; k</w:t>
            </w:r>
            <w:r w:rsidRPr="00AD785B">
              <w:rPr>
                <w:rFonts w:cs="Arial"/>
                <w:sz w:val="20"/>
                <w:szCs w:val="20"/>
                <w:lang w:eastAsia="en-GB"/>
              </w:rPr>
              <w:t>eep floors dry &amp; even.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Reduce numbers congregating in tight/small areas such as the nave, vestry &amp; bell tower areas.</w:t>
            </w:r>
          </w:p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Ensure a second person is always present if someone needs to climb the ladder to the tower.</w:t>
            </w:r>
          </w:p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501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PCC</w:t>
            </w:r>
          </w:p>
        </w:tc>
        <w:tc>
          <w:tcPr>
            <w:tcW w:w="474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Await DAC advice before making further changes, if required.</w:t>
            </w:r>
          </w:p>
        </w:tc>
        <w:tc>
          <w:tcPr>
            <w:tcW w:w="528" w:type="pct"/>
          </w:tcPr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Hazard tape applied.</w:t>
            </w:r>
          </w:p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Further adaptations to be considered after DAC assessment.</w:t>
            </w:r>
            <w:r w:rsidRPr="00AD785B"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DD7E1A" w:rsidRPr="00AD785B" w:rsidTr="00E332C0">
        <w:trPr>
          <w:trHeight w:val="2447"/>
        </w:trPr>
        <w:tc>
          <w:tcPr>
            <w:tcW w:w="547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Car park accidents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 and falls/trips outside church</w:t>
            </w:r>
          </w:p>
        </w:tc>
        <w:tc>
          <w:tcPr>
            <w:tcW w:w="529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Adults &amp; children</w:t>
            </w:r>
          </w:p>
        </w:tc>
        <w:tc>
          <w:tcPr>
            <w:tcW w:w="1252" w:type="pct"/>
          </w:tcPr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Supervising parking for busy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 festivals such as Christmas or other functions if possible.</w:t>
            </w:r>
          </w:p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Flood light from church down pathway in place. A</w:t>
            </w:r>
            <w:r w:rsidRPr="00AD785B">
              <w:rPr>
                <w:rFonts w:cs="Arial"/>
                <w:sz w:val="20"/>
                <w:szCs w:val="20"/>
                <w:lang w:eastAsia="en-GB"/>
              </w:rPr>
              <w:t>dditional lighting supplied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 down church path during Xmas services</w:t>
            </w:r>
            <w:r w:rsidRPr="00AD785B">
              <w:rPr>
                <w:rFonts w:cs="Arial"/>
                <w:sz w:val="20"/>
                <w:szCs w:val="20"/>
                <w:lang w:eastAsia="en-GB"/>
              </w:rPr>
              <w:t>.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169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 xml:space="preserve">Supervise </w:t>
            </w:r>
            <w:r w:rsidRPr="00AD785B">
              <w:rPr>
                <w:rFonts w:cs="Arial"/>
                <w:sz w:val="20"/>
                <w:szCs w:val="20"/>
                <w:lang w:eastAsia="en-GB"/>
              </w:rPr>
              <w:t xml:space="preserve">parking for all </w:t>
            </w:r>
            <w:r>
              <w:rPr>
                <w:rFonts w:cs="Arial"/>
                <w:sz w:val="20"/>
                <w:szCs w:val="20"/>
                <w:lang w:eastAsia="en-GB"/>
              </w:rPr>
              <w:t>festivals and large services.</w:t>
            </w:r>
          </w:p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Consider better lighting of paths. Check floodlight is strong enough light &amp; lasts long enough. Consider new floodlight on church gates also to light up path to car park.</w:t>
            </w:r>
          </w:p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Surface of church path &amp; surrounding area improved, gravel and stones on paths removed to prevent trips &amp; falls.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01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PCC</w:t>
            </w:r>
          </w:p>
        </w:tc>
        <w:tc>
          <w:tcPr>
            <w:tcW w:w="474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 xml:space="preserve">By Xmas 2023 </w:t>
            </w:r>
          </w:p>
        </w:tc>
        <w:tc>
          <w:tcPr>
            <w:tcW w:w="528" w:type="pct"/>
          </w:tcPr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Lighting for evening Xmas service done</w:t>
            </w:r>
          </w:p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</w:p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Church path resurfaced.</w:t>
            </w:r>
          </w:p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</w:p>
          <w:p w:rsidR="00DD7E1A" w:rsidRPr="00F83BF2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DD7E1A" w:rsidRPr="00AD785B" w:rsidTr="00CC720C">
        <w:trPr>
          <w:trHeight w:val="2370"/>
        </w:trPr>
        <w:tc>
          <w:tcPr>
            <w:tcW w:w="547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Personal safety</w:t>
            </w:r>
          </w:p>
        </w:tc>
        <w:tc>
          <w:tcPr>
            <w:tcW w:w="529" w:type="pct"/>
          </w:tcPr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Incumbent or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 xml:space="preserve"> lone worker</w:t>
            </w:r>
          </w:p>
        </w:tc>
        <w:tc>
          <w:tcPr>
            <w:tcW w:w="1252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Full consideration to lone visiting via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       “</w:t>
            </w:r>
            <w:r w:rsidRPr="00AD785B">
              <w:rPr>
                <w:rFonts w:cs="Arial"/>
                <w:sz w:val="20"/>
                <w:szCs w:val="20"/>
                <w:lang w:eastAsia="en-GB"/>
              </w:rPr>
              <w:t>Guidelines on Lone Working &amp; Personal Safety”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hyperlink r:id="rId6" w:history="1">
              <w:r w:rsidRPr="00AD785B">
                <w:rPr>
                  <w:rStyle w:val="Hyperlink"/>
                  <w:rFonts w:cs="Arial"/>
                  <w:sz w:val="20"/>
                  <w:szCs w:val="20"/>
                  <w:lang w:eastAsia="en-GB"/>
                </w:rPr>
                <w:t>https://www.hse.gov.uk/pubns/indg73.pdf</w:t>
              </w:r>
            </w:hyperlink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or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hyperlink r:id="rId7" w:history="1">
              <w:r w:rsidRPr="00AD785B">
                <w:rPr>
                  <w:rStyle w:val="Hyperlink"/>
                  <w:rFonts w:cs="Arial"/>
                  <w:sz w:val="20"/>
                  <w:szCs w:val="20"/>
                  <w:lang w:eastAsia="en-GB"/>
                </w:rPr>
                <w:t>https://www.stalbans.anglican.org/wp-content/uploads/Lone-Working-Guidelines.pdf</w:t>
              </w:r>
            </w:hyperlink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169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Incumbent or nominated person to risk assess &amp; authorise either lone visits or visits by 2 people.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Visitor is aware to report any deterioration in physical or mental health or any other concern to PSO &amp; a further risk assessment to be carried out.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Nominated person to contact PSO/family/social services regarding deterioration or other concern.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A register of all home visits to be kept in line with Data Protection Act 2018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Incumbent or nominated person to ensure visitor is not overloaded by pastoral demands.</w:t>
            </w:r>
          </w:p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Visits have clear boundaries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New Rector informed of these rules.</w:t>
            </w:r>
          </w:p>
        </w:tc>
        <w:tc>
          <w:tcPr>
            <w:tcW w:w="501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Incumbent or anyone visiting alone</w:t>
            </w:r>
          </w:p>
        </w:tc>
        <w:tc>
          <w:tcPr>
            <w:tcW w:w="474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Immediate</w:t>
            </w:r>
          </w:p>
        </w:tc>
        <w:tc>
          <w:tcPr>
            <w:tcW w:w="528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Yes</w:t>
            </w:r>
          </w:p>
        </w:tc>
      </w:tr>
      <w:tr w:rsidR="00DD7E1A" w:rsidRPr="00AD785B" w:rsidTr="00CC720C">
        <w:trPr>
          <w:trHeight w:val="1908"/>
        </w:trPr>
        <w:tc>
          <w:tcPr>
            <w:tcW w:w="547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Fire</w:t>
            </w:r>
          </w:p>
        </w:tc>
        <w:tc>
          <w:tcPr>
            <w:tcW w:w="529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Adults &amp;</w:t>
            </w:r>
            <w:r w:rsidRPr="00AD785B">
              <w:rPr>
                <w:rFonts w:cs="Arial"/>
                <w:sz w:val="20"/>
                <w:szCs w:val="20"/>
                <w:lang w:eastAsia="en-GB"/>
              </w:rPr>
              <w:t xml:space="preserve"> children</w:t>
            </w:r>
          </w:p>
        </w:tc>
        <w:tc>
          <w:tcPr>
            <w:tcW w:w="1252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Fire evacuation plan in place - &amp; see separate document for full fire risk assessment.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Fire fighting e</w:t>
            </w:r>
            <w:r w:rsidRPr="00AD785B">
              <w:rPr>
                <w:rFonts w:cs="Arial"/>
                <w:sz w:val="20"/>
                <w:szCs w:val="20"/>
                <w:lang w:eastAsia="en-GB"/>
              </w:rPr>
              <w:t>quipment labelled</w:t>
            </w:r>
            <w:r>
              <w:rPr>
                <w:rFonts w:cs="Arial"/>
                <w:sz w:val="20"/>
                <w:szCs w:val="20"/>
                <w:lang w:eastAsia="en-GB"/>
              </w:rPr>
              <w:t>.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Combustible materials kept to a minimum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Careful use of candles at Christmas</w:t>
            </w:r>
            <w:r w:rsidRPr="00AD785B">
              <w:rPr>
                <w:rFonts w:cs="Arial"/>
                <w:sz w:val="20"/>
                <w:szCs w:val="20"/>
                <w:lang w:eastAsia="en-GB"/>
              </w:rPr>
              <w:t xml:space="preserve"> services, being alert and carefully extinguished after the services.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A responsible person to snuff out any candles burning low or in a dangerous position. Keep flowers &amp; foliage away from candles</w:t>
            </w:r>
            <w:r w:rsidRPr="00AD785B">
              <w:rPr>
                <w:rFonts w:cs="Arial"/>
                <w:sz w:val="20"/>
                <w:szCs w:val="20"/>
                <w:lang w:eastAsia="en-GB"/>
              </w:rPr>
              <w:br/>
              <w:t>Regular safety check of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 safety equipment – Yearly PAT test.</w:t>
            </w:r>
          </w:p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Yearly fire evacuation practice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169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Consider needs of vulnerable adults &amp; those with disabilities &amp; children to be helped to evacuate quickly &amp; safely.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Ensure fire evacuation information is posted on the notice board.</w:t>
            </w:r>
          </w:p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Ensure fire-fighting equipment is labelled clearly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 &amp; check regularly – Fire extinguisher check carried out. 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Fire Risk Assessment updated.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F</w:t>
            </w:r>
            <w:r w:rsidRPr="00AD785B">
              <w:rPr>
                <w:rFonts w:cs="Arial"/>
                <w:sz w:val="20"/>
                <w:szCs w:val="20"/>
                <w:lang w:eastAsia="en-GB"/>
              </w:rPr>
              <w:t>ire evacuation practice carried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 out</w:t>
            </w:r>
          </w:p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Electrical 5 yearly check done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PAT testing done.</w:t>
            </w:r>
          </w:p>
        </w:tc>
        <w:tc>
          <w:tcPr>
            <w:tcW w:w="501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Gill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Eunice</w:t>
            </w:r>
          </w:p>
        </w:tc>
        <w:tc>
          <w:tcPr>
            <w:tcW w:w="474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 xml:space="preserve">All up to date &amp; Information </w:t>
            </w:r>
            <w:r w:rsidRPr="00AD785B">
              <w:rPr>
                <w:rFonts w:cs="Arial"/>
                <w:sz w:val="20"/>
                <w:szCs w:val="20"/>
                <w:lang w:eastAsia="en-GB"/>
              </w:rPr>
              <w:t>on notice board</w:t>
            </w:r>
            <w:r>
              <w:rPr>
                <w:rFonts w:cs="Arial"/>
                <w:sz w:val="20"/>
                <w:szCs w:val="20"/>
                <w:lang w:eastAsia="en-GB"/>
              </w:rPr>
              <w:t>. Electrical inspection up to date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528" w:type="pct"/>
          </w:tcPr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Yes</w:t>
            </w:r>
          </w:p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DD7E1A" w:rsidRPr="00AD785B" w:rsidTr="00E332C0">
        <w:tc>
          <w:tcPr>
            <w:tcW w:w="547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Collapse or injury</w:t>
            </w:r>
          </w:p>
        </w:tc>
        <w:tc>
          <w:tcPr>
            <w:tcW w:w="529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Adults or</w:t>
            </w:r>
            <w:r w:rsidRPr="00AD785B">
              <w:rPr>
                <w:rFonts w:cs="Arial"/>
                <w:sz w:val="20"/>
                <w:szCs w:val="20"/>
                <w:lang w:eastAsia="en-GB"/>
              </w:rPr>
              <w:t xml:space="preserve"> children</w:t>
            </w:r>
          </w:p>
        </w:tc>
        <w:tc>
          <w:tcPr>
            <w:tcW w:w="1252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First aider or medically trained person on hand if possible.</w:t>
            </w:r>
          </w:p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First aid box available at all times</w:t>
            </w:r>
          </w:p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169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F</w:t>
            </w:r>
            <w:r w:rsidRPr="00AD785B">
              <w:rPr>
                <w:rFonts w:cs="Arial"/>
                <w:sz w:val="20"/>
                <w:szCs w:val="20"/>
                <w:lang w:eastAsia="en-GB"/>
              </w:rPr>
              <w:t>irst aid box is up to date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 – new replacement items bought</w:t>
            </w:r>
          </w:p>
        </w:tc>
        <w:tc>
          <w:tcPr>
            <w:tcW w:w="501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Gill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474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Done</w:t>
            </w:r>
          </w:p>
        </w:tc>
        <w:tc>
          <w:tcPr>
            <w:tcW w:w="528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Yes</w:t>
            </w:r>
          </w:p>
        </w:tc>
      </w:tr>
      <w:tr w:rsidR="00DD7E1A" w:rsidRPr="00AD785B" w:rsidTr="00CC720C">
        <w:trPr>
          <w:trHeight w:val="2609"/>
        </w:trPr>
        <w:tc>
          <w:tcPr>
            <w:tcW w:w="547" w:type="pct"/>
          </w:tcPr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Injury from loose gravestones</w:t>
            </w:r>
          </w:p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</w:p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</w:p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</w:p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</w:p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</w:p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</w:p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</w:p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</w:p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529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Person walking through graveyard</w:t>
            </w:r>
            <w:r>
              <w:rPr>
                <w:rFonts w:cs="Arial"/>
                <w:sz w:val="20"/>
                <w:szCs w:val="20"/>
                <w:lang w:eastAsia="en-GB"/>
              </w:rPr>
              <w:t>.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Person working on a grave</w:t>
            </w:r>
            <w:r>
              <w:rPr>
                <w:rFonts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252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 w:rsidRPr="00AD785B">
              <w:rPr>
                <w:rFonts w:cs="Arial"/>
                <w:sz w:val="20"/>
                <w:szCs w:val="20"/>
                <w:lang w:eastAsia="en-GB"/>
              </w:rPr>
              <w:t>Gravestones are regularly checked &amp; laid down if loose or unstable</w:t>
            </w:r>
          </w:p>
        </w:tc>
        <w:tc>
          <w:tcPr>
            <w:tcW w:w="1169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R</w:t>
            </w:r>
            <w:r w:rsidRPr="00AD785B">
              <w:rPr>
                <w:rFonts w:cs="Arial"/>
                <w:sz w:val="20"/>
                <w:szCs w:val="20"/>
                <w:lang w:eastAsia="en-GB"/>
              </w:rPr>
              <w:t>egular checks of the graveyard</w:t>
            </w:r>
          </w:p>
        </w:tc>
        <w:tc>
          <w:tcPr>
            <w:tcW w:w="501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smartTag w:uri="urn:schemas-microsoft-com:office:smarttags" w:element="City">
              <w:smartTag w:uri="urn:schemas-microsoft-com:office:smarttags" w:element="place">
                <w:r w:rsidRPr="00AD785B">
                  <w:rPr>
                    <w:rFonts w:cs="Arial"/>
                    <w:sz w:val="20"/>
                    <w:szCs w:val="20"/>
                    <w:lang w:eastAsia="en-GB"/>
                  </w:rPr>
                  <w:t>Marion</w:t>
                </w:r>
              </w:smartTag>
            </w:smartTag>
          </w:p>
        </w:tc>
        <w:tc>
          <w:tcPr>
            <w:tcW w:w="474" w:type="pct"/>
          </w:tcPr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ASAP</w:t>
            </w:r>
          </w:p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1 Gravestone loose &amp; to be fixed with glue/cement to make safe</w:t>
            </w:r>
          </w:p>
        </w:tc>
        <w:tc>
          <w:tcPr>
            <w:tcW w:w="528" w:type="pct"/>
          </w:tcPr>
          <w:p w:rsidR="00DD7E1A" w:rsidRPr="00AD785B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Yes</w:t>
            </w:r>
          </w:p>
        </w:tc>
      </w:tr>
      <w:tr w:rsidR="00DD7E1A" w:rsidRPr="00AD785B" w:rsidTr="00E332C0">
        <w:tc>
          <w:tcPr>
            <w:tcW w:w="547" w:type="pct"/>
          </w:tcPr>
          <w:p w:rsidR="00DD7E1A" w:rsidRPr="00361E5F" w:rsidRDefault="00DD7E1A" w:rsidP="00C8767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Asbestos in the vestry – an asbestos survey has found no other asbestos present elsewhere  in the church</w:t>
            </w:r>
          </w:p>
        </w:tc>
        <w:tc>
          <w:tcPr>
            <w:tcW w:w="529" w:type="pct"/>
          </w:tcPr>
          <w:p w:rsidR="00DD7E1A" w:rsidRPr="00FE7212" w:rsidRDefault="00DD7E1A" w:rsidP="00C8767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No-one at present if asbestos remains undisturbed</w:t>
            </w:r>
          </w:p>
        </w:tc>
        <w:tc>
          <w:tcPr>
            <w:tcW w:w="1252" w:type="pct"/>
          </w:tcPr>
          <w:p w:rsidR="00DD7E1A" w:rsidRPr="00FE7212" w:rsidRDefault="00DD7E1A" w:rsidP="00C8767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An expert has advised that the asbestos remain if undisturbed &amp; covered in eggshell paint</w:t>
            </w:r>
          </w:p>
        </w:tc>
        <w:tc>
          <w:tcPr>
            <w:tcW w:w="1169" w:type="pct"/>
          </w:tcPr>
          <w:p w:rsidR="00DD7E1A" w:rsidRPr="00361E5F" w:rsidRDefault="00DD7E1A" w:rsidP="00C8767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Ensure the asbestos remains covered with the eggshell paint</w:t>
            </w:r>
          </w:p>
        </w:tc>
        <w:tc>
          <w:tcPr>
            <w:tcW w:w="501" w:type="pct"/>
          </w:tcPr>
          <w:p w:rsidR="00DD7E1A" w:rsidRPr="005650C3" w:rsidRDefault="00DD7E1A" w:rsidP="00C8767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PCC</w:t>
            </w:r>
          </w:p>
        </w:tc>
        <w:tc>
          <w:tcPr>
            <w:tcW w:w="474" w:type="pct"/>
          </w:tcPr>
          <w:p w:rsidR="00DD7E1A" w:rsidRPr="005650C3" w:rsidRDefault="00DD7E1A" w:rsidP="00C8767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Survey completed. Regularly observed &amp; satisfactory.</w:t>
            </w:r>
          </w:p>
        </w:tc>
        <w:tc>
          <w:tcPr>
            <w:tcW w:w="528" w:type="pct"/>
          </w:tcPr>
          <w:p w:rsidR="00DD7E1A" w:rsidRPr="008763C6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Yes</w:t>
            </w:r>
          </w:p>
        </w:tc>
      </w:tr>
      <w:tr w:rsidR="00DD7E1A" w:rsidRPr="000B02E4" w:rsidTr="00E332C0">
        <w:trPr>
          <w:trHeight w:val="1593"/>
        </w:trPr>
        <w:tc>
          <w:tcPr>
            <w:tcW w:w="547" w:type="pct"/>
          </w:tcPr>
          <w:p w:rsidR="00DD7E1A" w:rsidRDefault="00DD7E1A" w:rsidP="00C8767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Electrocution &amp;</w:t>
            </w:r>
          </w:p>
          <w:p w:rsidR="00DD7E1A" w:rsidRPr="000B02E4" w:rsidRDefault="00DD7E1A" w:rsidP="00C8767E">
            <w:pPr>
              <w:rPr>
                <w:sz w:val="20"/>
                <w:szCs w:val="20"/>
                <w:lang w:eastAsia="en-GB"/>
              </w:rPr>
            </w:pPr>
            <w:r w:rsidRPr="000B02E4">
              <w:rPr>
                <w:sz w:val="20"/>
                <w:szCs w:val="20"/>
                <w:lang w:eastAsia="en-GB"/>
              </w:rPr>
              <w:t>burns</w:t>
            </w:r>
          </w:p>
        </w:tc>
        <w:tc>
          <w:tcPr>
            <w:tcW w:w="529" w:type="pct"/>
          </w:tcPr>
          <w:p w:rsidR="00DD7E1A" w:rsidRPr="000B02E4" w:rsidRDefault="00DD7E1A" w:rsidP="00C8767E">
            <w:pPr>
              <w:rPr>
                <w:sz w:val="20"/>
                <w:szCs w:val="20"/>
                <w:lang w:eastAsia="en-GB"/>
              </w:rPr>
            </w:pPr>
            <w:r w:rsidRPr="000B02E4">
              <w:rPr>
                <w:sz w:val="20"/>
                <w:szCs w:val="20"/>
                <w:lang w:eastAsia="en-GB"/>
              </w:rPr>
              <w:t>Anyone using old or faulty church electrical equipment</w:t>
            </w:r>
          </w:p>
        </w:tc>
        <w:tc>
          <w:tcPr>
            <w:tcW w:w="1252" w:type="pct"/>
          </w:tcPr>
          <w:p w:rsidR="00DD7E1A" w:rsidRPr="000B02E4" w:rsidRDefault="00DD7E1A" w:rsidP="00C8767E">
            <w:pPr>
              <w:rPr>
                <w:sz w:val="20"/>
                <w:szCs w:val="20"/>
                <w:lang w:eastAsia="en-GB"/>
              </w:rPr>
            </w:pPr>
            <w:r w:rsidRPr="000B02E4">
              <w:rPr>
                <w:sz w:val="20"/>
                <w:szCs w:val="20"/>
                <w:lang w:eastAsia="en-GB"/>
              </w:rPr>
              <w:t>Using safe &amp; new equipment</w:t>
            </w:r>
          </w:p>
        </w:tc>
        <w:tc>
          <w:tcPr>
            <w:tcW w:w="1169" w:type="pct"/>
          </w:tcPr>
          <w:p w:rsidR="00DD7E1A" w:rsidRPr="000B02E4" w:rsidRDefault="00DD7E1A" w:rsidP="00C8767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Yearly </w:t>
            </w:r>
            <w:r w:rsidRPr="000B02E4">
              <w:rPr>
                <w:sz w:val="20"/>
                <w:szCs w:val="20"/>
                <w:lang w:eastAsia="en-GB"/>
              </w:rPr>
              <w:t>PAT testing</w:t>
            </w:r>
          </w:p>
        </w:tc>
        <w:tc>
          <w:tcPr>
            <w:tcW w:w="501" w:type="pct"/>
          </w:tcPr>
          <w:p w:rsidR="00DD7E1A" w:rsidRPr="000B02E4" w:rsidRDefault="00DD7E1A" w:rsidP="00C8767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Gill</w:t>
            </w:r>
          </w:p>
        </w:tc>
        <w:tc>
          <w:tcPr>
            <w:tcW w:w="474" w:type="pct"/>
          </w:tcPr>
          <w:p w:rsidR="00DD7E1A" w:rsidRPr="000B02E4" w:rsidRDefault="00DD7E1A" w:rsidP="00C8767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Done</w:t>
            </w:r>
          </w:p>
        </w:tc>
        <w:tc>
          <w:tcPr>
            <w:tcW w:w="528" w:type="pct"/>
          </w:tcPr>
          <w:p w:rsidR="00DD7E1A" w:rsidRPr="000B02E4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Yes</w:t>
            </w:r>
          </w:p>
        </w:tc>
      </w:tr>
      <w:tr w:rsidR="00DD7E1A" w:rsidRPr="000B02E4" w:rsidTr="008A3C14">
        <w:trPr>
          <w:trHeight w:val="3166"/>
        </w:trPr>
        <w:tc>
          <w:tcPr>
            <w:tcW w:w="547" w:type="pct"/>
          </w:tcPr>
          <w:p w:rsidR="00DD7E1A" w:rsidRPr="000B02E4" w:rsidRDefault="00DD7E1A" w:rsidP="00C8767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Trips and/or falls when walking towards or returning from  the Altar to take Communion</w:t>
            </w:r>
          </w:p>
        </w:tc>
        <w:tc>
          <w:tcPr>
            <w:tcW w:w="529" w:type="pct"/>
          </w:tcPr>
          <w:p w:rsidR="00DD7E1A" w:rsidRPr="000B02E4" w:rsidRDefault="00DD7E1A" w:rsidP="00C8767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Any parishioner, clergy, visitor or maintenance person</w:t>
            </w:r>
          </w:p>
        </w:tc>
        <w:tc>
          <w:tcPr>
            <w:tcW w:w="1252" w:type="pct"/>
          </w:tcPr>
          <w:p w:rsidR="00DD7E1A" w:rsidRDefault="00DD7E1A" w:rsidP="00C8767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Hazard tape has been put across all steps and uneven surfaces</w:t>
            </w:r>
          </w:p>
          <w:p w:rsidR="00DD7E1A" w:rsidRDefault="00DD7E1A" w:rsidP="00C8767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The vicar taking the communion service should start the services from the pulpit, with congregation sitting in the main church.</w:t>
            </w:r>
          </w:p>
          <w:p w:rsidR="00DD7E1A" w:rsidRDefault="00DD7E1A" w:rsidP="00C8767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When preparation takes place for communion and administration of sacrament, the vicar should speak from the altar and the congregation remain seated.</w:t>
            </w:r>
          </w:p>
          <w:p w:rsidR="00DD7E1A" w:rsidRDefault="00DD7E1A" w:rsidP="00C8767E">
            <w:pPr>
              <w:rPr>
                <w:b/>
                <w:sz w:val="20"/>
                <w:szCs w:val="20"/>
                <w:lang w:eastAsia="en-GB"/>
              </w:rPr>
            </w:pPr>
            <w:r>
              <w:rPr>
                <w:b/>
                <w:sz w:val="20"/>
                <w:szCs w:val="20"/>
                <w:lang w:eastAsia="en-GB"/>
              </w:rPr>
              <w:t>The Rector</w:t>
            </w:r>
            <w:r w:rsidRPr="00BF2799">
              <w:rPr>
                <w:b/>
                <w:sz w:val="20"/>
                <w:szCs w:val="20"/>
                <w:lang w:eastAsia="en-GB"/>
              </w:rPr>
              <w:t xml:space="preserve"> should offer to bring the sacrament to anyone with any mobility issues or difficulty climbing steps or requiring walking aids who requir</w:t>
            </w:r>
            <w:r>
              <w:rPr>
                <w:b/>
                <w:sz w:val="20"/>
                <w:szCs w:val="20"/>
                <w:lang w:eastAsia="en-GB"/>
              </w:rPr>
              <w:t xml:space="preserve">es communion. This is for their </w:t>
            </w:r>
            <w:r w:rsidRPr="00BF2799">
              <w:rPr>
                <w:b/>
                <w:sz w:val="20"/>
                <w:szCs w:val="20"/>
                <w:lang w:eastAsia="en-GB"/>
              </w:rPr>
              <w:t>personal safety.</w:t>
            </w:r>
          </w:p>
          <w:p w:rsidR="00DD7E1A" w:rsidRDefault="00DD7E1A" w:rsidP="00C8767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Care to be taken when parishioners go towards the altar for communion. To walk in single file, without hurrying. To observe steps carefully to avoid trips &amp; falls.</w:t>
            </w:r>
          </w:p>
          <w:p w:rsidR="00DD7E1A" w:rsidRPr="00BF2799" w:rsidRDefault="00DD7E1A" w:rsidP="00C8767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Await DAC assessment if any structural changes are required or other means of assistance necessary to try to prevent falling.</w:t>
            </w:r>
          </w:p>
        </w:tc>
        <w:tc>
          <w:tcPr>
            <w:tcW w:w="1169" w:type="pct"/>
          </w:tcPr>
          <w:p w:rsidR="00DD7E1A" w:rsidRDefault="00DD7E1A" w:rsidP="00C8767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We need to consider use of ramps or other mobility aids or fittings to improve safety where there are steps up to the altar. </w:t>
            </w:r>
          </w:p>
          <w:p w:rsidR="00DD7E1A" w:rsidRPr="000B02E4" w:rsidRDefault="00DD7E1A" w:rsidP="00C8767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Await Risk assessment by DAC to assess if any structural changes are required or other means of assistance necessary to try to prevent falling.</w:t>
            </w:r>
          </w:p>
        </w:tc>
        <w:tc>
          <w:tcPr>
            <w:tcW w:w="501" w:type="pct"/>
          </w:tcPr>
          <w:p w:rsidR="00DD7E1A" w:rsidRDefault="00DD7E1A" w:rsidP="00C8767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PCC to look into costs and feasibility of structural changes if required, once DAC assessment has taken place.</w:t>
            </w:r>
          </w:p>
          <w:p w:rsidR="00DD7E1A" w:rsidRPr="000B02E4" w:rsidRDefault="00DD7E1A" w:rsidP="00C8767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Action already taken re use of hazard tape &amp; care when taking communion.</w:t>
            </w:r>
          </w:p>
        </w:tc>
        <w:tc>
          <w:tcPr>
            <w:tcW w:w="474" w:type="pct"/>
          </w:tcPr>
          <w:p w:rsidR="00DD7E1A" w:rsidRPr="000B02E4" w:rsidRDefault="00DD7E1A" w:rsidP="00C8767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April 2024</w:t>
            </w:r>
          </w:p>
        </w:tc>
        <w:tc>
          <w:tcPr>
            <w:tcW w:w="528" w:type="pct"/>
          </w:tcPr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Some changes made already but ongoing plan for church building improvements if considered necessary.</w:t>
            </w:r>
          </w:p>
        </w:tc>
      </w:tr>
      <w:tr w:rsidR="00DD7E1A" w:rsidRPr="000B02E4" w:rsidTr="008A3C14">
        <w:trPr>
          <w:trHeight w:val="2788"/>
        </w:trPr>
        <w:tc>
          <w:tcPr>
            <w:tcW w:w="547" w:type="pct"/>
          </w:tcPr>
          <w:p w:rsidR="00DD7E1A" w:rsidRDefault="00DD7E1A" w:rsidP="00C8767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Hazard of falling when reading from the lectern.</w:t>
            </w:r>
          </w:p>
        </w:tc>
        <w:tc>
          <w:tcPr>
            <w:tcW w:w="529" w:type="pct"/>
          </w:tcPr>
          <w:p w:rsidR="00DD7E1A" w:rsidRPr="000B02E4" w:rsidRDefault="00DD7E1A" w:rsidP="00C8767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Anyone readings from the lectern or preparing a reading</w:t>
            </w:r>
          </w:p>
        </w:tc>
        <w:tc>
          <w:tcPr>
            <w:tcW w:w="1252" w:type="pct"/>
          </w:tcPr>
          <w:p w:rsidR="00DD7E1A" w:rsidRPr="000B02E4" w:rsidRDefault="00DD7E1A" w:rsidP="00C8767E">
            <w:pPr>
              <w:rPr>
                <w:sz w:val="20"/>
                <w:szCs w:val="20"/>
                <w:lang w:eastAsia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  <w:lang w:eastAsia="en-GB"/>
                  </w:rPr>
                  <w:t>Readings</w:t>
                </w:r>
              </w:smartTag>
            </w:smartTag>
            <w:r>
              <w:rPr>
                <w:sz w:val="20"/>
                <w:szCs w:val="20"/>
                <w:lang w:eastAsia="en-GB"/>
              </w:rPr>
              <w:t xml:space="preserve"> from the lectern not to be carried out by persons with reduced mobility.</w:t>
            </w:r>
          </w:p>
        </w:tc>
        <w:tc>
          <w:tcPr>
            <w:tcW w:w="1169" w:type="pct"/>
          </w:tcPr>
          <w:p w:rsidR="00DD7E1A" w:rsidRDefault="00DD7E1A" w:rsidP="00C8767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Consider changing access to the lectern in some way.</w:t>
            </w:r>
          </w:p>
          <w:p w:rsidR="00DD7E1A" w:rsidRDefault="00DD7E1A" w:rsidP="00C8767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Risk assessment by working party advised using a low wider step to stand on at the lectern.</w:t>
            </w:r>
          </w:p>
          <w:p w:rsidR="00DD7E1A" w:rsidRPr="000B02E4" w:rsidRDefault="00DD7E1A" w:rsidP="00C8767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DAC assessment to see if further changes are required.</w:t>
            </w:r>
          </w:p>
        </w:tc>
        <w:tc>
          <w:tcPr>
            <w:tcW w:w="501" w:type="pct"/>
          </w:tcPr>
          <w:p w:rsidR="00DD7E1A" w:rsidRPr="000B02E4" w:rsidRDefault="00DD7E1A" w:rsidP="00C8767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Await DAC advice </w:t>
            </w:r>
          </w:p>
        </w:tc>
        <w:tc>
          <w:tcPr>
            <w:tcW w:w="474" w:type="pct"/>
          </w:tcPr>
          <w:p w:rsidR="00DD7E1A" w:rsidRPr="000B02E4" w:rsidRDefault="00DD7E1A" w:rsidP="00C8767E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April 2024</w:t>
            </w:r>
          </w:p>
        </w:tc>
        <w:tc>
          <w:tcPr>
            <w:tcW w:w="528" w:type="pct"/>
          </w:tcPr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Monitor new use of step to stand at lectern.</w:t>
            </w:r>
          </w:p>
          <w:p w:rsidR="00DD7E1A" w:rsidRDefault="00DD7E1A" w:rsidP="00C8767E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Ongoing consideration.</w:t>
            </w:r>
          </w:p>
        </w:tc>
      </w:tr>
    </w:tbl>
    <w:p w:rsidR="00DD7E1A" w:rsidRPr="00AD5D3E" w:rsidRDefault="00DD7E1A">
      <w:pPr>
        <w:rPr>
          <w:rFonts w:ascii="Calibri" w:hAnsi="Calibri"/>
          <w:b/>
          <w:sz w:val="24"/>
        </w:rPr>
      </w:pPr>
    </w:p>
    <w:p w:rsidR="00DD7E1A" w:rsidRPr="00AD5D3E" w:rsidRDefault="00DD7E1A" w:rsidP="00AD5D3E"/>
    <w:sectPr w:rsidR="00DD7E1A" w:rsidRPr="00AD5D3E" w:rsidSect="004E64E0">
      <w:headerReference w:type="default" r:id="rId8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E1A" w:rsidRDefault="00DD7E1A" w:rsidP="00D66217">
      <w:r>
        <w:separator/>
      </w:r>
    </w:p>
  </w:endnote>
  <w:endnote w:type="continuationSeparator" w:id="0">
    <w:p w:rsidR="00DD7E1A" w:rsidRDefault="00DD7E1A" w:rsidP="00D66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E1A" w:rsidRDefault="00DD7E1A" w:rsidP="00D66217">
      <w:r>
        <w:separator/>
      </w:r>
    </w:p>
  </w:footnote>
  <w:footnote w:type="continuationSeparator" w:id="0">
    <w:p w:rsidR="00DD7E1A" w:rsidRDefault="00DD7E1A" w:rsidP="00D66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1A" w:rsidRDefault="00DD7E1A" w:rsidP="005A40B1">
    <w:pPr>
      <w:pStyle w:val="Header"/>
      <w:rPr>
        <w:rFonts w:ascii="Calibri" w:hAnsi="Calibri"/>
        <w:sz w:val="22"/>
      </w:rPr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alt="http://www.bethanyhope.co.uk/images/C_OF_logo_v2.jpg" style="width:208.8pt;height:43.2pt;visibility:visible">
          <v:imagedata r:id="rId1" o:title=""/>
        </v:shape>
      </w:pict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  <w:t>HANDOUT 3</w:t>
    </w:r>
    <w:bookmarkStart w:id="0" w:name="_GoBack"/>
    <w:bookmarkEnd w:id="0"/>
  </w:p>
  <w:p w:rsidR="00DD7E1A" w:rsidRDefault="00DD7E1A" w:rsidP="005A40B1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  <w:r>
      <w:rPr>
        <w:color w:val="000066"/>
        <w:sz w:val="28"/>
        <w:szCs w:val="28"/>
      </w:rPr>
      <w:t>National Safeguarding Team</w:t>
    </w:r>
  </w:p>
  <w:p w:rsidR="00DD7E1A" w:rsidRDefault="00DD7E1A" w:rsidP="005A40B1">
    <w:pPr>
      <w:pStyle w:val="Header"/>
      <w:rPr>
        <w:color w:val="000066"/>
        <w:sz w:val="28"/>
        <w:szCs w:val="28"/>
      </w:rPr>
    </w:pPr>
  </w:p>
  <w:p w:rsidR="00DD7E1A" w:rsidRPr="00AC12D5" w:rsidRDefault="00DD7E1A" w:rsidP="00AD5D3E">
    <w:pPr>
      <w:jc w:val="center"/>
      <w:rPr>
        <w:rFonts w:ascii="Calibri" w:hAnsi="Calibri"/>
        <w:sz w:val="32"/>
        <w:szCs w:val="32"/>
      </w:rPr>
    </w:pPr>
    <w:r w:rsidRPr="00862C2D">
      <w:rPr>
        <w:rFonts w:ascii="Calibri" w:hAnsi="Calibri"/>
        <w:b/>
        <w:sz w:val="32"/>
        <w:szCs w:val="32"/>
      </w:rPr>
      <w:t xml:space="preserve">Parish of </w:t>
    </w:r>
    <w:r>
      <w:rPr>
        <w:rFonts w:ascii="Calibri" w:hAnsi="Calibri"/>
        <w:sz w:val="32"/>
        <w:szCs w:val="32"/>
      </w:rPr>
      <w:softHyphen/>
    </w:r>
    <w:r>
      <w:rPr>
        <w:rFonts w:ascii="Calibri" w:hAnsi="Calibri"/>
        <w:sz w:val="32"/>
        <w:szCs w:val="32"/>
      </w:rPr>
      <w:softHyphen/>
    </w:r>
    <w:r>
      <w:rPr>
        <w:rFonts w:ascii="Calibri" w:hAnsi="Calibri"/>
        <w:sz w:val="32"/>
        <w:szCs w:val="32"/>
      </w:rPr>
      <w:softHyphen/>
    </w:r>
    <w:r>
      <w:rPr>
        <w:rFonts w:ascii="Calibri" w:hAnsi="Calibri"/>
        <w:sz w:val="32"/>
        <w:szCs w:val="32"/>
      </w:rPr>
      <w:softHyphen/>
    </w:r>
    <w:r>
      <w:rPr>
        <w:rFonts w:ascii="Calibri" w:hAnsi="Calibri"/>
        <w:sz w:val="32"/>
        <w:szCs w:val="32"/>
      </w:rPr>
      <w:softHyphen/>
    </w:r>
    <w:r>
      <w:rPr>
        <w:rFonts w:ascii="Calibri" w:hAnsi="Calibri"/>
        <w:sz w:val="32"/>
        <w:szCs w:val="32"/>
      </w:rPr>
      <w:softHyphen/>
    </w:r>
    <w:r>
      <w:rPr>
        <w:rFonts w:ascii="Calibri" w:hAnsi="Calibri"/>
        <w:sz w:val="32"/>
        <w:szCs w:val="32"/>
      </w:rPr>
      <w:softHyphen/>
    </w:r>
    <w:r>
      <w:rPr>
        <w:rFonts w:ascii="Calibri" w:hAnsi="Calibri"/>
        <w:sz w:val="32"/>
        <w:szCs w:val="32"/>
      </w:rPr>
      <w:softHyphen/>
    </w:r>
    <w:r>
      <w:rPr>
        <w:rFonts w:ascii="Calibri" w:hAnsi="Calibri"/>
        <w:sz w:val="32"/>
        <w:szCs w:val="32"/>
      </w:rPr>
      <w:softHyphen/>
    </w:r>
    <w:r>
      <w:rPr>
        <w:rFonts w:ascii="Calibri" w:hAnsi="Calibri"/>
        <w:sz w:val="32"/>
        <w:szCs w:val="32"/>
      </w:rPr>
      <w:softHyphen/>
    </w:r>
    <w:r>
      <w:rPr>
        <w:rFonts w:ascii="Calibri" w:hAnsi="Calibri"/>
        <w:sz w:val="32"/>
        <w:szCs w:val="32"/>
      </w:rPr>
      <w:softHyphen/>
    </w:r>
    <w:r>
      <w:rPr>
        <w:rFonts w:ascii="Calibri" w:hAnsi="Calibri"/>
        <w:sz w:val="32"/>
        <w:szCs w:val="32"/>
      </w:rPr>
      <w:softHyphen/>
    </w:r>
    <w:r>
      <w:rPr>
        <w:rFonts w:ascii="Calibri" w:hAnsi="Calibri"/>
        <w:sz w:val="32"/>
        <w:szCs w:val="32"/>
      </w:rPr>
      <w:softHyphen/>
    </w:r>
    <w:r>
      <w:rPr>
        <w:rFonts w:ascii="Calibri" w:hAnsi="Calibri"/>
        <w:sz w:val="32"/>
        <w:szCs w:val="32"/>
      </w:rPr>
      <w:softHyphen/>
    </w:r>
    <w:r>
      <w:rPr>
        <w:rFonts w:ascii="Calibri" w:hAnsi="Calibri"/>
        <w:sz w:val="32"/>
        <w:szCs w:val="32"/>
      </w:rPr>
      <w:softHyphen/>
    </w:r>
    <w:r>
      <w:rPr>
        <w:rFonts w:ascii="Calibri" w:hAnsi="Calibri"/>
        <w:sz w:val="32"/>
        <w:szCs w:val="32"/>
      </w:rPr>
      <w:softHyphen/>
    </w:r>
    <w:r>
      <w:rPr>
        <w:rFonts w:ascii="Calibri" w:hAnsi="Calibri"/>
        <w:sz w:val="32"/>
        <w:szCs w:val="32"/>
      </w:rPr>
      <w:softHyphen/>
    </w:r>
    <w:r>
      <w:rPr>
        <w:rFonts w:ascii="Calibri" w:hAnsi="Calibri"/>
        <w:sz w:val="32"/>
        <w:szCs w:val="32"/>
      </w:rPr>
      <w:softHyphen/>
    </w:r>
    <w:r>
      <w:rPr>
        <w:rFonts w:ascii="Calibri" w:hAnsi="Calibri"/>
        <w:sz w:val="32"/>
        <w:szCs w:val="32"/>
      </w:rPr>
      <w:softHyphen/>
    </w:r>
    <w:r>
      <w:rPr>
        <w:rFonts w:ascii="Calibri" w:hAnsi="Calibri"/>
        <w:sz w:val="32"/>
        <w:szCs w:val="32"/>
      </w:rPr>
      <w:softHyphen/>
    </w:r>
    <w:r>
      <w:rPr>
        <w:rFonts w:ascii="Calibri" w:hAnsi="Calibri"/>
        <w:sz w:val="32"/>
        <w:szCs w:val="32"/>
      </w:rPr>
      <w:softHyphen/>
    </w:r>
    <w:r>
      <w:rPr>
        <w:rFonts w:ascii="Calibri" w:hAnsi="Calibri"/>
        <w:sz w:val="32"/>
        <w:szCs w:val="32"/>
      </w:rPr>
      <w:softHyphen/>
    </w:r>
    <w:r>
      <w:rPr>
        <w:rFonts w:ascii="Calibri" w:hAnsi="Calibri"/>
        <w:sz w:val="32"/>
        <w:szCs w:val="32"/>
      </w:rPr>
      <w:softHyphen/>
    </w:r>
    <w:r>
      <w:rPr>
        <w:rFonts w:ascii="Calibri" w:hAnsi="Calibri"/>
        <w:sz w:val="32"/>
        <w:szCs w:val="32"/>
      </w:rPr>
      <w:softHyphen/>
    </w:r>
    <w:r>
      <w:rPr>
        <w:rFonts w:ascii="Calibri" w:hAnsi="Calibri"/>
        <w:sz w:val="32"/>
        <w:szCs w:val="32"/>
      </w:rPr>
      <w:softHyphen/>
    </w:r>
    <w:r>
      <w:rPr>
        <w:rFonts w:ascii="Calibri" w:hAnsi="Calibri"/>
        <w:sz w:val="32"/>
        <w:szCs w:val="32"/>
      </w:rPr>
      <w:softHyphen/>
    </w:r>
    <w:r>
      <w:rPr>
        <w:rFonts w:ascii="Calibri" w:hAnsi="Calibri"/>
        <w:sz w:val="32"/>
        <w:szCs w:val="32"/>
      </w:rPr>
      <w:softHyphen/>
      <w:t xml:space="preserve"> </w:t>
    </w:r>
    <w:r w:rsidRPr="00A20EA0">
      <w:rPr>
        <w:rFonts w:ascii="Calibri" w:hAnsi="Calibri"/>
        <w:b/>
        <w:sz w:val="32"/>
        <w:szCs w:val="32"/>
      </w:rPr>
      <w:t>St Mary’s, Graveley</w:t>
    </w:r>
  </w:p>
  <w:p w:rsidR="00DD7E1A" w:rsidRDefault="00DD7E1A" w:rsidP="00AD5D3E"/>
  <w:p w:rsidR="00DD7E1A" w:rsidRPr="00862C2D" w:rsidRDefault="00DD7E1A" w:rsidP="00AD5D3E">
    <w:pPr>
      <w:jc w:val="center"/>
      <w:rPr>
        <w:rFonts w:ascii="Calibri" w:hAnsi="Calibri"/>
        <w:b/>
        <w:sz w:val="32"/>
        <w:szCs w:val="32"/>
      </w:rPr>
    </w:pPr>
    <w:r>
      <w:rPr>
        <w:rFonts w:ascii="Calibri" w:hAnsi="Calibri"/>
        <w:b/>
        <w:sz w:val="32"/>
        <w:szCs w:val="32"/>
      </w:rPr>
      <w:t>Activity r</w:t>
    </w:r>
    <w:r w:rsidRPr="00862C2D">
      <w:rPr>
        <w:rFonts w:ascii="Calibri" w:hAnsi="Calibri"/>
        <w:b/>
        <w:sz w:val="32"/>
        <w:szCs w:val="32"/>
      </w:rPr>
      <w:t>isk assessment</w:t>
    </w:r>
  </w:p>
  <w:p w:rsidR="00DD7E1A" w:rsidRDefault="00DD7E1A" w:rsidP="00AD5D3E"/>
  <w:p w:rsidR="00DD7E1A" w:rsidRDefault="00DD7E1A" w:rsidP="00AD5D3E">
    <w:pPr>
      <w:rPr>
        <w:rFonts w:ascii="Calibri" w:hAnsi="Calibri"/>
        <w:b/>
        <w:sz w:val="24"/>
      </w:rPr>
    </w:pPr>
    <w:r w:rsidRPr="00862C2D">
      <w:rPr>
        <w:rFonts w:ascii="Calibri" w:hAnsi="Calibri"/>
        <w:b/>
        <w:sz w:val="24"/>
      </w:rPr>
      <w:t>Activity:</w:t>
    </w:r>
    <w:r>
      <w:rPr>
        <w:rFonts w:ascii="Calibri" w:hAnsi="Calibri"/>
        <w:b/>
        <w:sz w:val="24"/>
      </w:rPr>
      <w:t xml:space="preserve"> All risks</w:t>
    </w:r>
    <w:r>
      <w:rPr>
        <w:rFonts w:ascii="Calibri" w:hAnsi="Calibri"/>
        <w:b/>
        <w:sz w:val="24"/>
      </w:rPr>
      <w:tab/>
    </w:r>
    <w:r>
      <w:rPr>
        <w:rFonts w:ascii="Calibri" w:hAnsi="Calibri"/>
        <w:b/>
        <w:sz w:val="24"/>
      </w:rPr>
      <w:tab/>
    </w:r>
    <w:r>
      <w:rPr>
        <w:rFonts w:ascii="Calibri" w:hAnsi="Calibri"/>
        <w:b/>
        <w:sz w:val="24"/>
      </w:rPr>
      <w:tab/>
    </w:r>
    <w:r>
      <w:rPr>
        <w:rFonts w:ascii="Calibri" w:hAnsi="Calibri"/>
        <w:b/>
        <w:sz w:val="24"/>
      </w:rPr>
      <w:tab/>
    </w:r>
    <w:r>
      <w:rPr>
        <w:rFonts w:ascii="Calibri" w:hAnsi="Calibri"/>
        <w:b/>
        <w:sz w:val="24"/>
      </w:rPr>
      <w:tab/>
    </w:r>
    <w:r>
      <w:rPr>
        <w:rFonts w:ascii="Calibri" w:hAnsi="Calibri"/>
        <w:b/>
        <w:sz w:val="24"/>
      </w:rPr>
      <w:tab/>
    </w:r>
    <w:r>
      <w:rPr>
        <w:rFonts w:ascii="Calibri" w:hAnsi="Calibri"/>
        <w:b/>
        <w:sz w:val="24"/>
      </w:rPr>
      <w:tab/>
    </w:r>
    <w:r>
      <w:rPr>
        <w:rFonts w:ascii="Calibri" w:hAnsi="Calibri"/>
        <w:b/>
        <w:sz w:val="24"/>
      </w:rPr>
      <w:tab/>
    </w:r>
    <w:r>
      <w:rPr>
        <w:rFonts w:ascii="Calibri" w:hAnsi="Calibri"/>
        <w:b/>
        <w:sz w:val="24"/>
      </w:rPr>
      <w:tab/>
    </w:r>
    <w:r>
      <w:rPr>
        <w:rFonts w:ascii="Calibri" w:hAnsi="Calibri"/>
        <w:b/>
        <w:sz w:val="24"/>
      </w:rPr>
      <w:tab/>
      <w:t>Date of first Risk Assessment: 17.8.2022</w:t>
    </w:r>
  </w:p>
  <w:p w:rsidR="00DD7E1A" w:rsidRDefault="00DD7E1A" w:rsidP="00AD5D3E">
    <w:pPr>
      <w:rPr>
        <w:rFonts w:ascii="Calibri" w:hAnsi="Calibri"/>
        <w:b/>
        <w:sz w:val="24"/>
      </w:rPr>
    </w:pPr>
    <w:r w:rsidRPr="00862C2D">
      <w:rPr>
        <w:rFonts w:ascii="Calibri" w:hAnsi="Calibri"/>
        <w:b/>
        <w:sz w:val="24"/>
      </w:rPr>
      <w:t>Location:</w:t>
    </w:r>
    <w:r>
      <w:rPr>
        <w:rFonts w:ascii="Calibri" w:hAnsi="Calibri"/>
        <w:b/>
        <w:sz w:val="24"/>
      </w:rPr>
      <w:t xml:space="preserve"> St Mary’s Church</w:t>
    </w:r>
    <w:r>
      <w:rPr>
        <w:rFonts w:ascii="Calibri" w:hAnsi="Calibri"/>
        <w:b/>
        <w:sz w:val="24"/>
      </w:rPr>
      <w:tab/>
    </w:r>
    <w:r>
      <w:rPr>
        <w:rFonts w:ascii="Calibri" w:hAnsi="Calibri"/>
        <w:b/>
        <w:sz w:val="24"/>
      </w:rPr>
      <w:tab/>
    </w:r>
    <w:r>
      <w:rPr>
        <w:rFonts w:ascii="Calibri" w:hAnsi="Calibri"/>
        <w:b/>
        <w:sz w:val="24"/>
      </w:rPr>
      <w:tab/>
    </w:r>
    <w:r>
      <w:rPr>
        <w:rFonts w:ascii="Calibri" w:hAnsi="Calibri"/>
        <w:b/>
        <w:sz w:val="24"/>
      </w:rPr>
      <w:tab/>
    </w:r>
    <w:r>
      <w:rPr>
        <w:rFonts w:ascii="Calibri" w:hAnsi="Calibri"/>
        <w:b/>
        <w:sz w:val="24"/>
      </w:rPr>
      <w:tab/>
    </w:r>
    <w:r>
      <w:rPr>
        <w:rFonts w:ascii="Calibri" w:hAnsi="Calibri"/>
        <w:b/>
        <w:sz w:val="24"/>
      </w:rPr>
      <w:tab/>
    </w:r>
    <w:r>
      <w:rPr>
        <w:rFonts w:ascii="Calibri" w:hAnsi="Calibri"/>
        <w:b/>
        <w:sz w:val="24"/>
      </w:rPr>
      <w:tab/>
    </w:r>
    <w:r>
      <w:rPr>
        <w:rFonts w:ascii="Calibri" w:hAnsi="Calibri"/>
        <w:b/>
        <w:sz w:val="24"/>
      </w:rPr>
      <w:tab/>
    </w:r>
    <w:r>
      <w:rPr>
        <w:rFonts w:ascii="Calibri" w:hAnsi="Calibri"/>
        <w:b/>
        <w:sz w:val="24"/>
      </w:rPr>
      <w:tab/>
      <w:t>Time/frequency: Yearly or sooner if any changes</w:t>
    </w:r>
    <w:r>
      <w:rPr>
        <w:rFonts w:ascii="Calibri" w:hAnsi="Calibri"/>
        <w:b/>
        <w:sz w:val="24"/>
      </w:rPr>
      <w:tab/>
      <w:t xml:space="preserve">           </w:t>
    </w:r>
  </w:p>
  <w:p w:rsidR="00DD7E1A" w:rsidRPr="00321D28" w:rsidRDefault="00DD7E1A" w:rsidP="00AD5D3E">
    <w:pPr>
      <w:pStyle w:val="Header"/>
      <w:rPr>
        <w:rFonts w:ascii="Calibri" w:hAnsi="Calibri"/>
        <w:b/>
        <w:sz w:val="24"/>
      </w:rPr>
    </w:pPr>
    <w:r>
      <w:rPr>
        <w:rFonts w:ascii="Calibri" w:hAnsi="Calibri"/>
        <w:b/>
        <w:sz w:val="24"/>
      </w:rPr>
      <w:t>Name of leader with responsibility: Gill Shenoy PSO</w:t>
    </w:r>
    <w:r>
      <w:rPr>
        <w:rFonts w:ascii="Calibri" w:hAnsi="Calibri"/>
        <w:b/>
        <w:sz w:val="24"/>
      </w:rPr>
      <w:tab/>
      <w:t xml:space="preserve">                                                                Date reviewed: 3.10.23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C2D"/>
    <w:rsid w:val="0003287B"/>
    <w:rsid w:val="00052AAA"/>
    <w:rsid w:val="00087CB1"/>
    <w:rsid w:val="00090060"/>
    <w:rsid w:val="000A3CC5"/>
    <w:rsid w:val="000A4AB8"/>
    <w:rsid w:val="000B02E4"/>
    <w:rsid w:val="000B698C"/>
    <w:rsid w:val="000D0129"/>
    <w:rsid w:val="000D29C8"/>
    <w:rsid w:val="000E0FB2"/>
    <w:rsid w:val="000E305C"/>
    <w:rsid w:val="00107B5E"/>
    <w:rsid w:val="00136361"/>
    <w:rsid w:val="0014070E"/>
    <w:rsid w:val="0014611E"/>
    <w:rsid w:val="00196BFE"/>
    <w:rsid w:val="001A10A2"/>
    <w:rsid w:val="001D5BB3"/>
    <w:rsid w:val="001D7892"/>
    <w:rsid w:val="001E7881"/>
    <w:rsid w:val="001F075C"/>
    <w:rsid w:val="00232378"/>
    <w:rsid w:val="0023396A"/>
    <w:rsid w:val="002510DC"/>
    <w:rsid w:val="00251659"/>
    <w:rsid w:val="00282519"/>
    <w:rsid w:val="0028554A"/>
    <w:rsid w:val="002927D7"/>
    <w:rsid w:val="002A38A1"/>
    <w:rsid w:val="002B0DB6"/>
    <w:rsid w:val="002E7F38"/>
    <w:rsid w:val="002F2609"/>
    <w:rsid w:val="00302CE9"/>
    <w:rsid w:val="00321D28"/>
    <w:rsid w:val="003234A9"/>
    <w:rsid w:val="00341EDD"/>
    <w:rsid w:val="00347430"/>
    <w:rsid w:val="0035182E"/>
    <w:rsid w:val="003613BD"/>
    <w:rsid w:val="00361E5F"/>
    <w:rsid w:val="003638EA"/>
    <w:rsid w:val="00374BD1"/>
    <w:rsid w:val="00393A10"/>
    <w:rsid w:val="003A49DB"/>
    <w:rsid w:val="00416AD2"/>
    <w:rsid w:val="00422DD5"/>
    <w:rsid w:val="00425557"/>
    <w:rsid w:val="00431FAE"/>
    <w:rsid w:val="00467A06"/>
    <w:rsid w:val="004B2E8B"/>
    <w:rsid w:val="004B3EAA"/>
    <w:rsid w:val="004D0821"/>
    <w:rsid w:val="004D5C59"/>
    <w:rsid w:val="004E64E0"/>
    <w:rsid w:val="00515646"/>
    <w:rsid w:val="00517536"/>
    <w:rsid w:val="00541D82"/>
    <w:rsid w:val="005650C3"/>
    <w:rsid w:val="00572023"/>
    <w:rsid w:val="0058665C"/>
    <w:rsid w:val="00590F05"/>
    <w:rsid w:val="00590FA2"/>
    <w:rsid w:val="00595F9F"/>
    <w:rsid w:val="005A40B1"/>
    <w:rsid w:val="005A6348"/>
    <w:rsid w:val="005B4CD0"/>
    <w:rsid w:val="005C06AF"/>
    <w:rsid w:val="005D038E"/>
    <w:rsid w:val="005D2EC0"/>
    <w:rsid w:val="005E1064"/>
    <w:rsid w:val="00603896"/>
    <w:rsid w:val="0060464E"/>
    <w:rsid w:val="00646906"/>
    <w:rsid w:val="00652631"/>
    <w:rsid w:val="006533F9"/>
    <w:rsid w:val="00653727"/>
    <w:rsid w:val="0066223E"/>
    <w:rsid w:val="00663F23"/>
    <w:rsid w:val="00670186"/>
    <w:rsid w:val="00683F41"/>
    <w:rsid w:val="006973B0"/>
    <w:rsid w:val="006B0660"/>
    <w:rsid w:val="006B3CB7"/>
    <w:rsid w:val="006B54DC"/>
    <w:rsid w:val="006E4865"/>
    <w:rsid w:val="00705437"/>
    <w:rsid w:val="00710331"/>
    <w:rsid w:val="0071132B"/>
    <w:rsid w:val="00723C83"/>
    <w:rsid w:val="007254F0"/>
    <w:rsid w:val="007276EE"/>
    <w:rsid w:val="007576EB"/>
    <w:rsid w:val="007A3DBA"/>
    <w:rsid w:val="007B515F"/>
    <w:rsid w:val="007B5A4E"/>
    <w:rsid w:val="008205E9"/>
    <w:rsid w:val="00827853"/>
    <w:rsid w:val="00862C2D"/>
    <w:rsid w:val="008763C6"/>
    <w:rsid w:val="00885C77"/>
    <w:rsid w:val="00893BF1"/>
    <w:rsid w:val="00894862"/>
    <w:rsid w:val="008A19BF"/>
    <w:rsid w:val="008A3C14"/>
    <w:rsid w:val="008C0FAA"/>
    <w:rsid w:val="008D3A94"/>
    <w:rsid w:val="008D6BA2"/>
    <w:rsid w:val="008D6BE4"/>
    <w:rsid w:val="008E2BC1"/>
    <w:rsid w:val="008F11E4"/>
    <w:rsid w:val="008F4597"/>
    <w:rsid w:val="00903242"/>
    <w:rsid w:val="00923019"/>
    <w:rsid w:val="009725AD"/>
    <w:rsid w:val="009735AF"/>
    <w:rsid w:val="00985BD1"/>
    <w:rsid w:val="009A5796"/>
    <w:rsid w:val="009A6528"/>
    <w:rsid w:val="00A01AA4"/>
    <w:rsid w:val="00A04CC4"/>
    <w:rsid w:val="00A16A54"/>
    <w:rsid w:val="00A20EA0"/>
    <w:rsid w:val="00A31232"/>
    <w:rsid w:val="00A75A89"/>
    <w:rsid w:val="00A75ECE"/>
    <w:rsid w:val="00AA65D8"/>
    <w:rsid w:val="00AB49ED"/>
    <w:rsid w:val="00AC12D5"/>
    <w:rsid w:val="00AC18E6"/>
    <w:rsid w:val="00AC274F"/>
    <w:rsid w:val="00AD5D3E"/>
    <w:rsid w:val="00AD785B"/>
    <w:rsid w:val="00AF0EDD"/>
    <w:rsid w:val="00AF2686"/>
    <w:rsid w:val="00B342CF"/>
    <w:rsid w:val="00B36587"/>
    <w:rsid w:val="00B42042"/>
    <w:rsid w:val="00B44694"/>
    <w:rsid w:val="00B56BC8"/>
    <w:rsid w:val="00B66171"/>
    <w:rsid w:val="00B70B31"/>
    <w:rsid w:val="00B948B5"/>
    <w:rsid w:val="00BB35D7"/>
    <w:rsid w:val="00BF2799"/>
    <w:rsid w:val="00C050D7"/>
    <w:rsid w:val="00C14E7B"/>
    <w:rsid w:val="00C17173"/>
    <w:rsid w:val="00C31E99"/>
    <w:rsid w:val="00C34DFF"/>
    <w:rsid w:val="00C637A1"/>
    <w:rsid w:val="00C6500D"/>
    <w:rsid w:val="00C8754F"/>
    <w:rsid w:val="00C8767E"/>
    <w:rsid w:val="00CA0F19"/>
    <w:rsid w:val="00CC2EA1"/>
    <w:rsid w:val="00CC720C"/>
    <w:rsid w:val="00CD0B52"/>
    <w:rsid w:val="00CD56B2"/>
    <w:rsid w:val="00CE4073"/>
    <w:rsid w:val="00CF34E2"/>
    <w:rsid w:val="00CF6666"/>
    <w:rsid w:val="00D17C65"/>
    <w:rsid w:val="00D23B23"/>
    <w:rsid w:val="00D36D49"/>
    <w:rsid w:val="00D52AE2"/>
    <w:rsid w:val="00D53E41"/>
    <w:rsid w:val="00D66217"/>
    <w:rsid w:val="00D86C87"/>
    <w:rsid w:val="00DA18F4"/>
    <w:rsid w:val="00DC0316"/>
    <w:rsid w:val="00DD7E1A"/>
    <w:rsid w:val="00E07F73"/>
    <w:rsid w:val="00E257EE"/>
    <w:rsid w:val="00E332C0"/>
    <w:rsid w:val="00E565A3"/>
    <w:rsid w:val="00E86654"/>
    <w:rsid w:val="00EA322C"/>
    <w:rsid w:val="00EB2985"/>
    <w:rsid w:val="00ED3820"/>
    <w:rsid w:val="00EE0F39"/>
    <w:rsid w:val="00EF3217"/>
    <w:rsid w:val="00F12272"/>
    <w:rsid w:val="00F32E08"/>
    <w:rsid w:val="00F80015"/>
    <w:rsid w:val="00F83BF2"/>
    <w:rsid w:val="00FC5C8A"/>
    <w:rsid w:val="00FE7212"/>
    <w:rsid w:val="00FF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2D"/>
    <w:rPr>
      <w:rFonts w:ascii="Arial" w:eastAsia="Times New Roman" w:hAnsi="Arial" w:cs="Times New Roman"/>
      <w:sz w:val="18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62C2D"/>
    <w:rPr>
      <w:rFonts w:ascii="Arial" w:eastAsia="Times New Roman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6217"/>
    <w:rPr>
      <w:rFonts w:ascii="Arial" w:hAnsi="Arial" w:cs="Times New Roman"/>
      <w:sz w:val="18"/>
    </w:rPr>
  </w:style>
  <w:style w:type="paragraph" w:styleId="Footer">
    <w:name w:val="footer"/>
    <w:basedOn w:val="Normal"/>
    <w:link w:val="FooterChar"/>
    <w:uiPriority w:val="99"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6217"/>
    <w:rPr>
      <w:rFonts w:ascii="Arial" w:hAnsi="Arial" w:cs="Times New Roman"/>
      <w:sz w:val="18"/>
    </w:rPr>
  </w:style>
  <w:style w:type="character" w:styleId="Hyperlink">
    <w:name w:val="Hyperlink"/>
    <w:basedOn w:val="DefaultParagraphFont"/>
    <w:uiPriority w:val="99"/>
    <w:rsid w:val="003A49D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talbans.anglican.org/wp-content/uploads/Lone-Working-Guideline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se.gov.uk/pubns/indg73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7</Pages>
  <Words>1104</Words>
  <Characters>6295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are the hazards</dc:title>
  <dc:subject/>
  <dc:creator>SandhamJ</dc:creator>
  <cp:keywords/>
  <dc:description/>
  <cp:lastModifiedBy>GillShenoy</cp:lastModifiedBy>
  <cp:revision>3</cp:revision>
  <cp:lastPrinted>2023-11-11T18:26:00Z</cp:lastPrinted>
  <dcterms:created xsi:type="dcterms:W3CDTF">2023-11-11T17:56:00Z</dcterms:created>
  <dcterms:modified xsi:type="dcterms:W3CDTF">2023-11-11T18:26:00Z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